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F6D5B"/>
    <w:p w14:paraId="7C9334C3"/>
    <w:p w14:paraId="3DBC56CF"/>
    <w:p w14:paraId="7879C89B"/>
    <w:p w14:paraId="25716E7B">
      <w:pPr>
        <w:numPr>
          <w:ilvl w:val="0"/>
          <w:numId w:val="0"/>
        </w:num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构建医院品牌文化生态系统-清单</w:t>
      </w:r>
    </w:p>
    <w:p w14:paraId="07B1F87C">
      <w:pPr>
        <w:numPr>
          <w:ilvl w:val="0"/>
          <w:numId w:val="0"/>
        </w:numPr>
        <w:jc w:val="both"/>
        <w:rPr>
          <w:rFonts w:hint="eastAsia"/>
          <w:sz w:val="36"/>
          <w:szCs w:val="36"/>
        </w:rPr>
      </w:pPr>
    </w:p>
    <w:p w14:paraId="0E71AA1A">
      <w:pPr>
        <w:numPr>
          <w:ilvl w:val="0"/>
          <w:numId w:val="1"/>
        </w:numPr>
        <w:jc w:val="left"/>
        <w:rPr>
          <w:rFonts w:hint="eastAsia"/>
          <w:b/>
          <w:bCs/>
          <w:color w:val="EE822F" w:themeColor="accent2"/>
          <w:sz w:val="36"/>
          <w:szCs w:val="36"/>
          <w14:textFill>
            <w14:solidFill>
              <w14:schemeClr w14:val="accent2"/>
            </w14:solidFill>
          </w14:textFill>
        </w:rPr>
      </w:pPr>
      <w:r>
        <w:rPr>
          <w:rFonts w:hint="eastAsia"/>
          <w:b/>
          <w:bCs/>
          <w:color w:val="EE822F" w:themeColor="accent2"/>
          <w:sz w:val="36"/>
          <w:szCs w:val="36"/>
          <w14:textFill>
            <w14:solidFill>
              <w14:schemeClr w14:val="accent2"/>
            </w14:solidFill>
          </w14:textFill>
        </w:rPr>
        <w:t>医院品牌文化形象</w:t>
      </w:r>
      <w:r>
        <w:rPr>
          <w:rFonts w:hint="eastAsia"/>
          <w:b/>
          <w:bCs/>
          <w:color w:val="EE822F" w:themeColor="accent2"/>
          <w:sz w:val="36"/>
          <w:szCs w:val="36"/>
          <w:lang w:val="en-US" w:eastAsia="zh-CN"/>
          <w14:textFill>
            <w14:solidFill>
              <w14:schemeClr w14:val="accent2"/>
            </w14:solidFill>
          </w14:textFill>
        </w:rPr>
        <w:t>资产的创建</w:t>
      </w:r>
    </w:p>
    <w:p w14:paraId="09F05F77">
      <w:pPr>
        <w:numPr>
          <w:ilvl w:val="0"/>
          <w:numId w:val="0"/>
        </w:numPr>
        <w:jc w:val="left"/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</w:pPr>
    </w:p>
    <w:p w14:paraId="47643AB7">
      <w:pPr>
        <w:numPr>
          <w:ilvl w:val="0"/>
          <w:numId w:val="0"/>
        </w:numPr>
        <w:jc w:val="left"/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b/>
          <w:bCs/>
          <w:color w:val="EE822F" w:themeColor="accent2"/>
          <w:lang w:val="en-US" w:eastAsia="zh-CN"/>
          <w14:textFill>
            <w14:solidFill>
              <w14:schemeClr w14:val="accent2"/>
            </w14:solidFill>
          </w14:textFill>
        </w:rPr>
        <w:t>A</w:t>
      </w:r>
      <w:r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  <w:t>品牌</w:t>
      </w:r>
      <w:r>
        <w:rPr>
          <w:rFonts w:hint="eastAsia"/>
          <w:b/>
          <w:bCs/>
          <w:color w:val="EE822F" w:themeColor="accent2"/>
          <w:lang w:val="en-US" w:eastAsia="zh-CN"/>
          <w14:textFill>
            <w14:solidFill>
              <w14:schemeClr w14:val="accent2"/>
            </w14:solidFill>
          </w14:textFill>
        </w:rPr>
        <w:t>文化</w:t>
      </w:r>
      <w:r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  <w:t>视觉基础要素构建</w:t>
      </w:r>
    </w:p>
    <w:p w14:paraId="0C312D73">
      <w:pPr>
        <w:numPr>
          <w:ilvl w:val="0"/>
          <w:numId w:val="0"/>
        </w:numPr>
        <w:jc w:val="right"/>
        <w:rPr>
          <w:rFonts w:hint="eastAsia"/>
        </w:rPr>
      </w:pPr>
    </w:p>
    <w:p w14:paraId="0AEA36C9">
      <w:pPr>
        <w:numPr>
          <w:ilvl w:val="0"/>
          <w:numId w:val="0"/>
        </w:num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A-1 LOGO形象创建</w:t>
      </w:r>
    </w:p>
    <w:p w14:paraId="4057992A">
      <w:pPr>
        <w:numPr>
          <w:ilvl w:val="0"/>
          <w:numId w:val="0"/>
        </w:numPr>
        <w:jc w:val="both"/>
        <w:rPr>
          <w:rFonts w:hint="eastAsia"/>
        </w:rPr>
      </w:pPr>
    </w:p>
    <w:p w14:paraId="3CFC929C">
      <w:pPr>
        <w:numPr>
          <w:ilvl w:val="0"/>
          <w:numId w:val="0"/>
        </w:numPr>
        <w:jc w:val="both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</w:rPr>
        <w:t xml:space="preserve">A-1    </w:t>
      </w:r>
      <w:bookmarkStart w:id="0" w:name="_GoBack"/>
      <w:bookmarkEnd w:id="0"/>
      <w:r>
        <w:rPr>
          <w:rFonts w:hint="eastAsia"/>
        </w:rPr>
        <w:t>LOGO正形</w:t>
      </w:r>
      <w:r>
        <w:rPr>
          <w:rFonts w:hint="eastAsia"/>
          <w:lang w:val="en-US" w:eastAsia="zh-CN"/>
        </w:rPr>
        <w:t>优化及提升</w:t>
      </w:r>
      <w:r>
        <w:rPr>
          <w:rFonts w:hint="eastAsia"/>
          <w:color w:val="FF0000"/>
          <w:lang w:val="en-US" w:eastAsia="zh-CN"/>
        </w:rPr>
        <w:t>（包括商标注册专业咨询辅导）</w:t>
      </w:r>
    </w:p>
    <w:p w14:paraId="15E532F1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A-1.1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LOGO创意元素分析与提炼（图解）</w:t>
      </w:r>
    </w:p>
    <w:p w14:paraId="078D77C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A-1.2  LOGO释义</w:t>
      </w:r>
    </w:p>
    <w:p w14:paraId="469E930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A-1.3  LOGO标准制图</w:t>
      </w:r>
    </w:p>
    <w:p w14:paraId="5658F3BF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A-1.4  LOGO墨稿规范</w:t>
      </w:r>
    </w:p>
    <w:p w14:paraId="5A5B1FA4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A-1.5  LOGO反白稿规范  </w:t>
      </w:r>
    </w:p>
    <w:p w14:paraId="2F47C1E3">
      <w:pPr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A-1.6  LOGO的最小使用规范及留白空间</w:t>
      </w:r>
      <w:r>
        <w:rPr>
          <w:rFonts w:hint="eastAsia"/>
          <w:lang w:val="en-US" w:eastAsia="zh-CN"/>
        </w:rPr>
        <w:t>规范</w:t>
      </w:r>
    </w:p>
    <w:p w14:paraId="4EA0D965">
      <w:pPr>
        <w:numPr>
          <w:ilvl w:val="0"/>
          <w:numId w:val="0"/>
        </w:numPr>
        <w:jc w:val="both"/>
        <w:rPr>
          <w:rFonts w:hint="eastAsia"/>
        </w:rPr>
      </w:pPr>
    </w:p>
    <w:p w14:paraId="3786133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 院徽设计规范应用设计</w:t>
      </w:r>
    </w:p>
    <w:p w14:paraId="170224C7">
      <w:pPr>
        <w:numPr>
          <w:ilvl w:val="0"/>
          <w:numId w:val="0"/>
        </w:numPr>
        <w:jc w:val="both"/>
        <w:rPr>
          <w:rFonts w:hint="eastAsia"/>
        </w:rPr>
      </w:pPr>
    </w:p>
    <w:p w14:paraId="08B8ACC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A-2.1 院徽设计</w:t>
      </w:r>
    </w:p>
    <w:p w14:paraId="449058E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A-2.1 院徽的标准制图</w:t>
      </w:r>
    </w:p>
    <w:p w14:paraId="7D17B3E4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A-2.2 院徽应用说明（文字）</w:t>
      </w:r>
    </w:p>
    <w:p w14:paraId="2BABC3B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A-2.3 院徽应用场景说明（图解）</w:t>
      </w:r>
    </w:p>
    <w:p w14:paraId="77E9AC4C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A-2.4 院徽墨稿规范</w:t>
      </w:r>
    </w:p>
    <w:p w14:paraId="3F5A115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A-2.5 院徽反白稿规范</w:t>
      </w:r>
    </w:p>
    <w:p w14:paraId="2AB1B34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A-2.6 院徽的最小使用规范及留白空间规范</w:t>
      </w:r>
    </w:p>
    <w:p w14:paraId="2B0DC433">
      <w:pPr>
        <w:numPr>
          <w:ilvl w:val="0"/>
          <w:numId w:val="0"/>
        </w:numPr>
        <w:jc w:val="both"/>
        <w:rPr>
          <w:rFonts w:hint="eastAsia"/>
        </w:rPr>
      </w:pPr>
    </w:p>
    <w:p w14:paraId="1ADEC722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A-3 标准字</w:t>
      </w:r>
    </w:p>
    <w:p w14:paraId="7BFE2FC2">
      <w:pPr>
        <w:numPr>
          <w:ilvl w:val="0"/>
          <w:numId w:val="0"/>
        </w:numPr>
        <w:jc w:val="both"/>
        <w:rPr>
          <w:rFonts w:hint="eastAsia"/>
        </w:rPr>
      </w:pPr>
    </w:p>
    <w:p w14:paraId="77A952D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A-3.1 医院中文全称标准字及规范</w:t>
      </w:r>
    </w:p>
    <w:p w14:paraId="0B9B7364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A-3.2 医院英文全称标准字及规范</w:t>
      </w:r>
    </w:p>
    <w:p w14:paraId="3F7DA9FF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A-3.3 中文应用规范字体</w:t>
      </w:r>
    </w:p>
    <w:p w14:paraId="16EE6631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A-4.4 英文应用规范字体</w:t>
      </w:r>
    </w:p>
    <w:p w14:paraId="00DCB353">
      <w:pPr>
        <w:numPr>
          <w:ilvl w:val="0"/>
          <w:numId w:val="0"/>
        </w:numPr>
        <w:jc w:val="both"/>
        <w:rPr>
          <w:rFonts w:hint="eastAsia"/>
        </w:rPr>
      </w:pPr>
    </w:p>
    <w:p w14:paraId="49610EB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 基本要素组合规范</w:t>
      </w:r>
    </w:p>
    <w:p w14:paraId="5A9DADA2">
      <w:pPr>
        <w:numPr>
          <w:ilvl w:val="0"/>
          <w:numId w:val="0"/>
        </w:numPr>
        <w:jc w:val="both"/>
        <w:rPr>
          <w:rFonts w:hint="eastAsia"/>
        </w:rPr>
      </w:pPr>
    </w:p>
    <w:p w14:paraId="546CC346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A-4.1 LOGO与中文全称标准字的组合规范</w:t>
      </w:r>
    </w:p>
    <w:p w14:paraId="4660505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A-4.2  LOGO与英文全称标准字的组合规范</w:t>
      </w:r>
    </w:p>
    <w:p w14:paraId="3C83B2B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A-4.3  LOGO与中、英文全称标准字的组合规范（中轴组合）</w:t>
      </w:r>
    </w:p>
    <w:p w14:paraId="190FB173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A-4.4  LOGO与中、英文全称标准字的组合规范（横版组合）</w:t>
      </w:r>
    </w:p>
    <w:p w14:paraId="2E875612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A-4.5 LOGO与中、英文全称标准字的组合规范（竖版组合）</w:t>
      </w:r>
    </w:p>
    <w:p w14:paraId="1476B5F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A-4.6  LOGO基本要素组合规范错误示例</w:t>
      </w:r>
    </w:p>
    <w:p w14:paraId="3E86A27D">
      <w:pPr>
        <w:numPr>
          <w:ilvl w:val="0"/>
          <w:numId w:val="0"/>
        </w:numPr>
        <w:jc w:val="both"/>
        <w:rPr>
          <w:rFonts w:hint="eastAsia"/>
        </w:rPr>
      </w:pPr>
    </w:p>
    <w:p w14:paraId="5E7C1290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A-５ 色彩规范</w:t>
      </w:r>
    </w:p>
    <w:p w14:paraId="71A2D346">
      <w:pPr>
        <w:numPr>
          <w:ilvl w:val="0"/>
          <w:numId w:val="0"/>
        </w:numPr>
        <w:jc w:val="both"/>
        <w:rPr>
          <w:rFonts w:hint="eastAsia"/>
        </w:rPr>
      </w:pPr>
    </w:p>
    <w:p w14:paraId="600E819C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A-5.1 色彩分析提取</w:t>
      </w:r>
    </w:p>
    <w:p w14:paraId="140C572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A-5.2 标准色色值规范</w:t>
      </w:r>
    </w:p>
    <w:p w14:paraId="6848370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A-5.3 辅助色色彩定义</w:t>
      </w:r>
    </w:p>
    <w:p w14:paraId="4A6D29D6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A-5.4 辅助色色值规范</w:t>
      </w:r>
    </w:p>
    <w:p w14:paraId="69C884D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A-5.5 特色科室色彩定义（文字说明）</w:t>
      </w:r>
    </w:p>
    <w:p w14:paraId="32F588F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A-5.6 特色科室色彩规范（色值）</w:t>
      </w:r>
    </w:p>
    <w:p w14:paraId="3B665139">
      <w:pPr>
        <w:numPr>
          <w:ilvl w:val="0"/>
          <w:numId w:val="0"/>
        </w:numPr>
        <w:jc w:val="both"/>
        <w:rPr>
          <w:rFonts w:hint="eastAsia"/>
        </w:rPr>
      </w:pPr>
    </w:p>
    <w:p w14:paraId="2C4C8F6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A-６ 主视觉图形规范设计</w:t>
      </w:r>
    </w:p>
    <w:p w14:paraId="200B1BAF">
      <w:pPr>
        <w:numPr>
          <w:ilvl w:val="0"/>
          <w:numId w:val="0"/>
        </w:numPr>
        <w:jc w:val="both"/>
        <w:rPr>
          <w:rFonts w:hint="eastAsia"/>
        </w:rPr>
      </w:pPr>
    </w:p>
    <w:p w14:paraId="33AE37D0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A-6.1 主视觉图形定义</w:t>
      </w:r>
    </w:p>
    <w:p w14:paraId="404455B4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A-6.2 主视觉图形应用规范（横版）</w:t>
      </w:r>
    </w:p>
    <w:p w14:paraId="1AA5A0D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A-6.3 主视觉图形应用规范（竖版）</w:t>
      </w:r>
    </w:p>
    <w:p w14:paraId="5828B21F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A-6.4 主视觉图形应用示例</w:t>
      </w:r>
    </w:p>
    <w:p w14:paraId="76C02486">
      <w:pPr>
        <w:numPr>
          <w:ilvl w:val="0"/>
          <w:numId w:val="0"/>
        </w:numPr>
        <w:jc w:val="both"/>
        <w:rPr>
          <w:rFonts w:hint="eastAsia"/>
        </w:rPr>
      </w:pPr>
    </w:p>
    <w:p w14:paraId="135ABC5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A-7 文化符号规范设计</w:t>
      </w:r>
    </w:p>
    <w:p w14:paraId="41D97206">
      <w:pPr>
        <w:numPr>
          <w:ilvl w:val="0"/>
          <w:numId w:val="0"/>
        </w:numPr>
        <w:jc w:val="both"/>
        <w:rPr>
          <w:rFonts w:hint="eastAsia"/>
        </w:rPr>
      </w:pPr>
    </w:p>
    <w:p w14:paraId="03E0B382">
      <w:pPr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A-6.1 文化符号定义</w:t>
      </w:r>
      <w:r>
        <w:rPr>
          <w:rFonts w:hint="eastAsia"/>
          <w:lang w:val="en-US" w:eastAsia="zh-CN"/>
        </w:rPr>
        <w:t>与创意设计</w:t>
      </w:r>
    </w:p>
    <w:p w14:paraId="545DBDB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A-6.2 文化符号应用示例</w:t>
      </w:r>
    </w:p>
    <w:p w14:paraId="38361F33">
      <w:pPr>
        <w:numPr>
          <w:ilvl w:val="0"/>
          <w:numId w:val="0"/>
        </w:numPr>
        <w:jc w:val="both"/>
        <w:rPr>
          <w:rFonts w:hint="eastAsia"/>
        </w:rPr>
      </w:pPr>
    </w:p>
    <w:p w14:paraId="40811C05">
      <w:pPr>
        <w:numPr>
          <w:ilvl w:val="0"/>
          <w:numId w:val="0"/>
        </w:numPr>
        <w:jc w:val="both"/>
        <w:rPr>
          <w:rFonts w:hint="eastAsia"/>
        </w:rPr>
      </w:pPr>
    </w:p>
    <w:p w14:paraId="25421750">
      <w:pPr>
        <w:numPr>
          <w:ilvl w:val="0"/>
          <w:numId w:val="0"/>
        </w:numPr>
        <w:jc w:val="both"/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b/>
          <w:bCs/>
          <w:color w:val="EE822F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B </w:t>
      </w:r>
      <w:r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  <w:t>品牌</w:t>
      </w:r>
      <w:r>
        <w:rPr>
          <w:rFonts w:hint="eastAsia"/>
          <w:b/>
          <w:bCs/>
          <w:color w:val="EE822F" w:themeColor="accent2"/>
          <w:lang w:val="en-US" w:eastAsia="zh-CN"/>
          <w14:textFill>
            <w14:solidFill>
              <w14:schemeClr w14:val="accent2"/>
            </w14:solidFill>
          </w14:textFill>
        </w:rPr>
        <w:t>文化</w:t>
      </w:r>
      <w:r>
        <w:rPr>
          <w:rFonts w:hint="eastAsia"/>
          <w:b/>
          <w:bCs/>
          <w:color w:val="EE822F" w:themeColor="accent2"/>
          <w14:textFill>
            <w14:solidFill>
              <w14:schemeClr w14:val="accent2"/>
            </w14:solidFill>
          </w14:textFill>
        </w:rPr>
        <w:t>视觉应用要素构建</w:t>
      </w:r>
    </w:p>
    <w:p w14:paraId="01296336">
      <w:pPr>
        <w:numPr>
          <w:ilvl w:val="0"/>
          <w:numId w:val="0"/>
        </w:numPr>
        <w:jc w:val="both"/>
        <w:rPr>
          <w:rFonts w:hint="eastAsia"/>
        </w:rPr>
      </w:pPr>
    </w:p>
    <w:p w14:paraId="2B425D52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 行政办公类</w:t>
      </w:r>
    </w:p>
    <w:p w14:paraId="1D0822A1">
      <w:pPr>
        <w:numPr>
          <w:ilvl w:val="0"/>
          <w:numId w:val="0"/>
        </w:numPr>
        <w:jc w:val="both"/>
        <w:rPr>
          <w:rFonts w:hint="eastAsia"/>
        </w:rPr>
      </w:pPr>
    </w:p>
    <w:p w14:paraId="6B6D92E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   信封（5/7/9号国际、国内）</w:t>
      </w:r>
    </w:p>
    <w:p w14:paraId="0BD54FF6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   信纸</w:t>
      </w:r>
    </w:p>
    <w:p w14:paraId="35AA3148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B-1.3   Word文档页眉页脚应用规范</w:t>
      </w:r>
    </w:p>
    <w:p w14:paraId="521ABE0E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B-1.4   便签本（封面及内页）</w:t>
      </w:r>
    </w:p>
    <w:p w14:paraId="5671F54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B-1.5   工作证（胸卡）（横版、竖版）</w:t>
      </w:r>
    </w:p>
    <w:p w14:paraId="08C26F6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B-1.6   文件袋（封面）</w:t>
      </w:r>
    </w:p>
    <w:p w14:paraId="6C3F45E2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B-1.7   文件夹（封面）</w:t>
      </w:r>
    </w:p>
    <w:p w14:paraId="2D620383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B-1.14 纸杯</w:t>
      </w:r>
    </w:p>
    <w:p w14:paraId="22AD497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B-1.15 手提袋（纸质竖版）</w:t>
      </w:r>
    </w:p>
    <w:p w14:paraId="613832C3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B-1.16 手提袋（棉布竖版）</w:t>
      </w:r>
    </w:p>
    <w:p w14:paraId="7BCF1FD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B-1.17 马克杯</w:t>
      </w:r>
    </w:p>
    <w:p w14:paraId="7DD3998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B-1.18 院报刊头规范设计</w:t>
      </w:r>
    </w:p>
    <w:p w14:paraId="275AF7B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B-1.19 鼠标垫</w:t>
      </w:r>
    </w:p>
    <w:p w14:paraId="64E7AE5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B-1.21 电脑桌面标志组合应用</w:t>
      </w:r>
    </w:p>
    <w:p w14:paraId="334E1F9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B-1.22 工作日志</w:t>
      </w:r>
    </w:p>
    <w:p w14:paraId="55DDA546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B-1.23 办公各式表格格式</w:t>
      </w:r>
    </w:p>
    <w:p w14:paraId="3CBFFC23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B-1.24 台面资料架</w:t>
      </w:r>
    </w:p>
    <w:p w14:paraId="25B0AB8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B-1.25 落地资料架</w:t>
      </w:r>
    </w:p>
    <w:p w14:paraId="3EC5833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B-1.26 伞架</w:t>
      </w:r>
    </w:p>
    <w:p w14:paraId="2B0669CF">
      <w:pPr>
        <w:numPr>
          <w:ilvl w:val="0"/>
          <w:numId w:val="0"/>
        </w:numPr>
        <w:jc w:val="both"/>
        <w:rPr>
          <w:rFonts w:hint="eastAsia"/>
        </w:rPr>
      </w:pPr>
    </w:p>
    <w:p w14:paraId="57D8BC4E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 会议论坛类</w:t>
      </w:r>
    </w:p>
    <w:p w14:paraId="36C08E2C">
      <w:pPr>
        <w:numPr>
          <w:ilvl w:val="0"/>
          <w:numId w:val="0"/>
        </w:numPr>
        <w:jc w:val="both"/>
        <w:rPr>
          <w:rFonts w:hint="eastAsia"/>
        </w:rPr>
      </w:pPr>
    </w:p>
    <w:p w14:paraId="13716230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B-2.1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会议通知</w:t>
      </w:r>
    </w:p>
    <w:p w14:paraId="421A2CA2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B-2.2   会场门型展架</w:t>
      </w:r>
    </w:p>
    <w:p w14:paraId="445563E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B-2.3   会议签名墙</w:t>
      </w:r>
    </w:p>
    <w:p w14:paraId="0670C27E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B-2.4   会议欢迎牌</w:t>
      </w:r>
    </w:p>
    <w:p w14:paraId="3F7A282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B-2.5   会议横幅</w:t>
      </w:r>
    </w:p>
    <w:p w14:paraId="353357B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B-2.6   会场指引牌视觉规范设计</w:t>
      </w:r>
    </w:p>
    <w:p w14:paraId="6C3AFC5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B-2.7   PPT视觉规范设计</w:t>
      </w:r>
    </w:p>
    <w:p w14:paraId="17A2FE9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B-2.8   水杯及杯垫规范</w:t>
      </w:r>
    </w:p>
    <w:p w14:paraId="61119A2C">
      <w:pPr>
        <w:numPr>
          <w:ilvl w:val="0"/>
          <w:numId w:val="0"/>
        </w:numPr>
        <w:jc w:val="both"/>
        <w:rPr>
          <w:rFonts w:hint="eastAsia"/>
        </w:rPr>
      </w:pPr>
    </w:p>
    <w:p w14:paraId="6FB30F7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B-3</w:t>
      </w:r>
      <w:r>
        <w:rPr>
          <w:rFonts w:hint="eastAsia"/>
        </w:rPr>
        <w:tab/>
      </w:r>
      <w:r>
        <w:rPr>
          <w:rFonts w:hint="eastAsia"/>
        </w:rPr>
        <w:t xml:space="preserve"> 荣誉体系类</w:t>
      </w:r>
    </w:p>
    <w:p w14:paraId="1345A210">
      <w:pPr>
        <w:numPr>
          <w:ilvl w:val="0"/>
          <w:numId w:val="0"/>
        </w:numPr>
        <w:jc w:val="both"/>
        <w:rPr>
          <w:rFonts w:hint="eastAsia"/>
        </w:rPr>
      </w:pPr>
    </w:p>
    <w:p w14:paraId="1BAA3DA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B-3.1   奖杯</w:t>
      </w:r>
    </w:p>
    <w:p w14:paraId="76C2404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B-3.2   聘书</w:t>
      </w:r>
    </w:p>
    <w:p w14:paraId="40594178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B-3.3   奖牌</w:t>
      </w:r>
    </w:p>
    <w:p w14:paraId="489B8470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B-3.4   荣誉证书</w:t>
      </w:r>
    </w:p>
    <w:p w14:paraId="68CD8766">
      <w:pPr>
        <w:numPr>
          <w:ilvl w:val="0"/>
          <w:numId w:val="0"/>
        </w:numPr>
        <w:jc w:val="both"/>
        <w:rPr>
          <w:rFonts w:hint="eastAsia"/>
        </w:rPr>
      </w:pPr>
    </w:p>
    <w:p w14:paraId="5EB52A9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B-4 </w:t>
      </w:r>
      <w:r>
        <w:rPr>
          <w:rFonts w:hint="eastAsia"/>
          <w:lang w:val="en-US" w:eastAsia="zh-CN"/>
        </w:rPr>
        <w:t>临床</w:t>
      </w:r>
      <w:r>
        <w:rPr>
          <w:rFonts w:hint="eastAsia"/>
        </w:rPr>
        <w:t>业务类</w:t>
      </w:r>
    </w:p>
    <w:p w14:paraId="2D9BA2EB">
      <w:pPr>
        <w:numPr>
          <w:ilvl w:val="0"/>
          <w:numId w:val="0"/>
        </w:numPr>
        <w:jc w:val="both"/>
        <w:rPr>
          <w:rFonts w:hint="eastAsia"/>
        </w:rPr>
      </w:pPr>
    </w:p>
    <w:p w14:paraId="46B486EE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B-4.1   病历本（封面封底）</w:t>
      </w:r>
    </w:p>
    <w:p w14:paraId="57FB39F1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B-4.2   体检报告单及体检袋规范</w:t>
      </w:r>
    </w:p>
    <w:p w14:paraId="504F428A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B-4.3   一般业务用表格设计规范</w:t>
      </w:r>
    </w:p>
    <w:p w14:paraId="347272B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B-4.4   自助机页面规范（首页页面，LOGO颜色规范</w:t>
      </w:r>
    </w:p>
    <w:p w14:paraId="0B6E38BF">
      <w:pPr>
        <w:numPr>
          <w:ilvl w:val="0"/>
          <w:numId w:val="0"/>
        </w:numPr>
        <w:jc w:val="both"/>
        <w:rPr>
          <w:rFonts w:hint="eastAsia"/>
        </w:rPr>
      </w:pPr>
    </w:p>
    <w:p w14:paraId="1693A964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 宣传用品类</w:t>
      </w:r>
    </w:p>
    <w:p w14:paraId="2FA12344">
      <w:pPr>
        <w:numPr>
          <w:ilvl w:val="0"/>
          <w:numId w:val="0"/>
        </w:numPr>
        <w:jc w:val="both"/>
        <w:rPr>
          <w:rFonts w:hint="eastAsia"/>
        </w:rPr>
      </w:pPr>
    </w:p>
    <w:p w14:paraId="6F83002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B-5.1   灯箱广告</w:t>
      </w:r>
    </w:p>
    <w:p w14:paraId="2C3F249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  条幅</w:t>
      </w:r>
    </w:p>
    <w:p w14:paraId="74A638E2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  旗帜</w:t>
      </w:r>
    </w:p>
    <w:p w14:paraId="65F39B7C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  车贴规范</w:t>
      </w:r>
    </w:p>
    <w:p w14:paraId="06D5F05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  宣传册（封面规范设计）</w:t>
      </w:r>
    </w:p>
    <w:p w14:paraId="2DF11239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</w:t>
      </w:r>
      <w:r>
        <w:rPr>
          <w:rFonts w:hint="eastAsia"/>
          <w:lang w:val="en-US" w:eastAsia="zh-CN"/>
        </w:rPr>
        <w:t>.6</w:t>
      </w:r>
      <w:r>
        <w:rPr>
          <w:rFonts w:hint="eastAsia"/>
        </w:rPr>
        <w:t>日历（封面封底规范设计）</w:t>
      </w:r>
    </w:p>
    <w:p w14:paraId="660E91D1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海报</w:t>
      </w:r>
    </w:p>
    <w:p w14:paraId="33D62EF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单页</w:t>
      </w:r>
    </w:p>
    <w:p w14:paraId="5F88EDF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B-5.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折页</w:t>
      </w:r>
    </w:p>
    <w:p w14:paraId="7932C34A">
      <w:pPr>
        <w:numPr>
          <w:ilvl w:val="0"/>
          <w:numId w:val="0"/>
        </w:numPr>
        <w:jc w:val="both"/>
        <w:rPr>
          <w:rFonts w:hint="eastAsia"/>
        </w:rPr>
      </w:pPr>
    </w:p>
    <w:p w14:paraId="3B8B1233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 新媒体运营类</w:t>
      </w:r>
    </w:p>
    <w:p w14:paraId="018FB9F0">
      <w:pPr>
        <w:numPr>
          <w:ilvl w:val="0"/>
          <w:numId w:val="0"/>
        </w:numPr>
        <w:jc w:val="both"/>
        <w:rPr>
          <w:rFonts w:hint="eastAsia"/>
        </w:rPr>
      </w:pPr>
    </w:p>
    <w:p w14:paraId="55C3D1A6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B-6.1   微信头像应用规范</w:t>
      </w:r>
    </w:p>
    <w:p w14:paraId="3A4E915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B-6.2   微博头像应用规范</w:t>
      </w:r>
    </w:p>
    <w:p w14:paraId="7D591C5F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B-6.3   抖音头像应用规范</w:t>
      </w:r>
    </w:p>
    <w:p w14:paraId="370FC3FD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B-6.4   头条号应用规范</w:t>
      </w:r>
    </w:p>
    <w:p w14:paraId="4C2C89B7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B-6.5   公众号推文开头banner图应用规范</w:t>
      </w:r>
    </w:p>
    <w:p w14:paraId="59F9F7EB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B-6.6   公众号推文底部应用规范             </w:t>
      </w:r>
    </w:p>
    <w:p w14:paraId="77E7BD53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B-6.7   医院官网形象标志组合应用规范</w:t>
      </w:r>
    </w:p>
    <w:p w14:paraId="7871D31B">
      <w:pPr>
        <w:numPr>
          <w:ilvl w:val="0"/>
          <w:numId w:val="0"/>
        </w:numPr>
        <w:jc w:val="both"/>
        <w:rPr>
          <w:rFonts w:hint="eastAsia"/>
        </w:rPr>
      </w:pPr>
    </w:p>
    <w:p w14:paraId="26E9339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 品牌文创类</w:t>
      </w:r>
    </w:p>
    <w:p w14:paraId="0A934639">
      <w:pPr>
        <w:numPr>
          <w:ilvl w:val="0"/>
          <w:numId w:val="0"/>
        </w:numPr>
        <w:jc w:val="both"/>
        <w:rPr>
          <w:rFonts w:hint="eastAsia"/>
        </w:rPr>
      </w:pPr>
    </w:p>
    <w:p w14:paraId="00E75E66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B-7.1   邀请函及封套</w:t>
      </w:r>
    </w:p>
    <w:p w14:paraId="188342F8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B-7.2   节日问候卡及封套</w:t>
      </w:r>
    </w:p>
    <w:p w14:paraId="59A4638C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B-7.3   笔记本&amp;钢笔套装</w:t>
      </w:r>
    </w:p>
    <w:p w14:paraId="607A8A38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B-7.4   纪念徽章（金属）</w:t>
      </w:r>
    </w:p>
    <w:p w14:paraId="132F4C3F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B-7.5   小型礼品纸袋</w:t>
      </w:r>
    </w:p>
    <w:p w14:paraId="35282B55">
      <w:pPr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B-7.6   晴雨伞</w:t>
      </w:r>
    </w:p>
    <w:p w14:paraId="2C37EE7E">
      <w:pPr>
        <w:numPr>
          <w:ilvl w:val="0"/>
          <w:numId w:val="0"/>
        </w:numPr>
        <w:jc w:val="right"/>
        <w:rPr>
          <w:rFonts w:hint="eastAsia"/>
        </w:rPr>
      </w:pPr>
    </w:p>
    <w:p w14:paraId="2B5E9498">
      <w:pPr>
        <w:numPr>
          <w:ilvl w:val="0"/>
          <w:numId w:val="0"/>
        </w:numPr>
        <w:jc w:val="left"/>
        <w:rPr>
          <w:rFonts w:hint="eastAsia"/>
        </w:rPr>
      </w:pPr>
    </w:p>
    <w:p w14:paraId="43DDD5D2">
      <w:pPr>
        <w:numPr>
          <w:ilvl w:val="0"/>
          <w:numId w:val="0"/>
        </w:numPr>
        <w:jc w:val="left"/>
        <w:rPr>
          <w:rFonts w:hint="eastAsia"/>
          <w:b/>
          <w:bCs/>
          <w:color w:val="EE822F" w:themeColor="accent2"/>
          <w:sz w:val="36"/>
          <w:szCs w:val="36"/>
          <w14:textFill>
            <w14:solidFill>
              <w14:schemeClr w14:val="accent2"/>
            </w14:solidFill>
          </w14:textFill>
        </w:rPr>
      </w:pPr>
      <w:r>
        <w:rPr>
          <w:rFonts w:hint="eastAsia"/>
          <w:b/>
          <w:bCs/>
          <w:color w:val="EE822F" w:themeColor="accent2"/>
          <w:sz w:val="36"/>
          <w:szCs w:val="36"/>
          <w14:textFill>
            <w14:solidFill>
              <w14:schemeClr w14:val="accent2"/>
            </w14:solidFill>
          </w14:textFill>
        </w:rPr>
        <w:t>(二) 医院环境导视系统概念设计</w:t>
      </w:r>
    </w:p>
    <w:p w14:paraId="2B398F8C">
      <w:pPr>
        <w:numPr>
          <w:ilvl w:val="0"/>
          <w:numId w:val="0"/>
        </w:numPr>
        <w:jc w:val="left"/>
        <w:rPr>
          <w:rFonts w:hint="eastAsia"/>
        </w:rPr>
      </w:pPr>
    </w:p>
    <w:p w14:paraId="766C8834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1）医院导视系统</w:t>
      </w:r>
      <w:r>
        <w:rPr>
          <w:rFonts w:hint="eastAsia"/>
          <w:lang w:val="en-US" w:eastAsia="zh-CN"/>
        </w:rPr>
        <w:t>基础</w:t>
      </w:r>
      <w:r>
        <w:rPr>
          <w:rFonts w:hint="eastAsia"/>
        </w:rPr>
        <w:t>概念设计</w:t>
      </w:r>
    </w:p>
    <w:p w14:paraId="62095DD3">
      <w:pPr>
        <w:numPr>
          <w:ilvl w:val="0"/>
          <w:numId w:val="0"/>
        </w:numPr>
        <w:jc w:val="left"/>
        <w:rPr>
          <w:rFonts w:hint="eastAsia"/>
        </w:rPr>
      </w:pPr>
    </w:p>
    <w:p w14:paraId="01747C34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B-1.1  导视设计理念</w:t>
      </w:r>
    </w:p>
    <w:p w14:paraId="29E17F94">
      <w:pPr>
        <w:numPr>
          <w:ilvl w:val="0"/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B-1.2  导视核心创意元素分析与</w:t>
      </w:r>
      <w:r>
        <w:rPr>
          <w:rFonts w:hint="eastAsia"/>
          <w:lang w:val="en-US" w:eastAsia="zh-CN"/>
        </w:rPr>
        <w:t>萃取</w:t>
      </w:r>
    </w:p>
    <w:p w14:paraId="2FB5BE2E">
      <w:pPr>
        <w:numPr>
          <w:ilvl w:val="0"/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B-1.3  导视造型</w:t>
      </w:r>
      <w:r>
        <w:rPr>
          <w:rFonts w:hint="eastAsia"/>
          <w:lang w:val="en-US" w:eastAsia="zh-CN"/>
        </w:rPr>
        <w:t>分析</w:t>
      </w:r>
    </w:p>
    <w:p w14:paraId="620880BF">
      <w:pPr>
        <w:numPr>
          <w:ilvl w:val="0"/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B-1.4  导视色彩</w:t>
      </w:r>
      <w:r>
        <w:rPr>
          <w:rFonts w:hint="eastAsia"/>
          <w:lang w:val="en-US" w:eastAsia="zh-CN"/>
        </w:rPr>
        <w:t>分析</w:t>
      </w:r>
    </w:p>
    <w:p w14:paraId="7FE7F461">
      <w:pPr>
        <w:numPr>
          <w:ilvl w:val="0"/>
          <w:numId w:val="0"/>
        </w:numPr>
        <w:jc w:val="left"/>
        <w:rPr>
          <w:rFonts w:hint="eastAsia"/>
        </w:rPr>
      </w:pPr>
    </w:p>
    <w:p w14:paraId="46F9DB2D">
      <w:pPr>
        <w:numPr>
          <w:ilvl w:val="0"/>
          <w:numId w:val="0"/>
        </w:numPr>
        <w:jc w:val="left"/>
        <w:rPr>
          <w:rFonts w:hint="eastAsia"/>
        </w:rPr>
      </w:pPr>
    </w:p>
    <w:p w14:paraId="60E4F285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2）环境导视系统色彩规划</w:t>
      </w:r>
    </w:p>
    <w:p w14:paraId="3E6348E3">
      <w:pPr>
        <w:numPr>
          <w:ilvl w:val="0"/>
          <w:numId w:val="0"/>
        </w:numPr>
        <w:jc w:val="left"/>
        <w:rPr>
          <w:rFonts w:hint="eastAsia"/>
        </w:rPr>
      </w:pPr>
    </w:p>
    <w:p w14:paraId="5E6EEB1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B-2.1  外环境导视色彩方案</w:t>
      </w:r>
    </w:p>
    <w:p w14:paraId="30AB786C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B-2.2  内环境导视色彩方案</w:t>
      </w:r>
    </w:p>
    <w:p w14:paraId="48038275">
      <w:pPr>
        <w:numPr>
          <w:ilvl w:val="0"/>
          <w:numId w:val="0"/>
        </w:numPr>
        <w:jc w:val="left"/>
        <w:rPr>
          <w:rFonts w:hint="eastAsia"/>
        </w:rPr>
      </w:pPr>
    </w:p>
    <w:p w14:paraId="78E3E6CE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基于GB/</w:t>
      </w:r>
      <w:r>
        <w:rPr>
          <w:rFonts w:hint="default"/>
          <w:lang w:val="en-US" w:eastAsia="zh-CN"/>
        </w:rPr>
        <w:t>T10001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6—2021</w:t>
      </w:r>
      <w:r>
        <w:rPr>
          <w:rFonts w:hint="eastAsia"/>
          <w:lang w:val="en-US" w:eastAsia="zh-CN"/>
        </w:rPr>
        <w:t>、GB/</w:t>
      </w:r>
      <w:r>
        <w:rPr>
          <w:rFonts w:hint="default"/>
          <w:lang w:val="en-US" w:eastAsia="zh-CN"/>
        </w:rPr>
        <w:t>T10001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1—2023</w:t>
      </w:r>
      <w:r>
        <w:rPr>
          <w:rFonts w:hint="eastAsia"/>
          <w:lang w:val="en-US" w:eastAsia="zh-CN"/>
        </w:rPr>
        <w:t>的图形系统开发</w:t>
      </w:r>
    </w:p>
    <w:p w14:paraId="3A9F4CEE">
      <w:pPr>
        <w:numPr>
          <w:ilvl w:val="0"/>
          <w:numId w:val="0"/>
        </w:numPr>
        <w:jc w:val="left"/>
        <w:rPr>
          <w:rFonts w:hint="eastAsia"/>
        </w:rPr>
      </w:pPr>
    </w:p>
    <w:p w14:paraId="3BBE05AA">
      <w:pPr>
        <w:numPr>
          <w:ilvl w:val="0"/>
          <w:numId w:val="0"/>
        </w:numPr>
        <w:jc w:val="left"/>
        <w:rPr>
          <w:rFonts w:hint="eastAsia"/>
        </w:rPr>
      </w:pPr>
    </w:p>
    <w:p w14:paraId="5615A5E5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）室外环境导视系统设计</w:t>
      </w:r>
    </w:p>
    <w:p w14:paraId="357A9F4C">
      <w:pPr>
        <w:numPr>
          <w:ilvl w:val="0"/>
          <w:numId w:val="0"/>
        </w:numPr>
        <w:jc w:val="left"/>
        <w:rPr>
          <w:rFonts w:hint="eastAsia"/>
        </w:rPr>
      </w:pPr>
    </w:p>
    <w:p w14:paraId="3DE650B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.1  户外总平图标识</w:t>
      </w:r>
    </w:p>
    <w:p w14:paraId="63EA9AE5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.2  医院入口形象柱（精神堡垒）</w:t>
      </w:r>
    </w:p>
    <w:p w14:paraId="70858CC3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.3  户外道路指引牌（立地式）</w:t>
      </w:r>
    </w:p>
    <w:p w14:paraId="6CAA7F59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.4  户外道路指引牌（贴墙式）</w:t>
      </w:r>
    </w:p>
    <w:p w14:paraId="54D3381D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.5  建筑物出入口标识（立地式）</w:t>
      </w:r>
    </w:p>
    <w:p w14:paraId="3FD5461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.6  建筑物出入口标识（贴墙式）</w:t>
      </w:r>
    </w:p>
    <w:p w14:paraId="525625A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.7  户外机动车交通标识</w:t>
      </w:r>
    </w:p>
    <w:p w14:paraId="7AEBC34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.8  停车场指引牌</w:t>
      </w:r>
    </w:p>
    <w:p w14:paraId="32F17CF2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.9  停车场出入口标识</w:t>
      </w:r>
    </w:p>
    <w:p w14:paraId="601D198D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.10  非机动车泊车标识</w:t>
      </w:r>
    </w:p>
    <w:p w14:paraId="46313288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.11  户外宣传栏</w:t>
      </w:r>
    </w:p>
    <w:p w14:paraId="4EEAB8A7">
      <w:pPr>
        <w:numPr>
          <w:ilvl w:val="0"/>
          <w:numId w:val="0"/>
        </w:numPr>
        <w:jc w:val="left"/>
        <w:rPr>
          <w:rFonts w:hint="eastAsia"/>
        </w:rPr>
      </w:pPr>
    </w:p>
    <w:p w14:paraId="42EBB3C9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）室内环境导视系统标识设计</w:t>
      </w:r>
    </w:p>
    <w:p w14:paraId="443EECE3">
      <w:pPr>
        <w:numPr>
          <w:ilvl w:val="0"/>
          <w:numId w:val="0"/>
        </w:numPr>
        <w:jc w:val="left"/>
        <w:rPr>
          <w:rFonts w:hint="eastAsia"/>
        </w:rPr>
      </w:pPr>
    </w:p>
    <w:p w14:paraId="31D69B4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  大厅形象墙标识</w:t>
      </w:r>
    </w:p>
    <w:p w14:paraId="3396A71A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.2  大厅楼层总索引</w:t>
      </w:r>
    </w:p>
    <w:p w14:paraId="584D6BE0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.3  大厅专家介绍栏</w:t>
      </w:r>
    </w:p>
    <w:p w14:paraId="60A5C378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.4  大厅专家出诊动态栏</w:t>
      </w:r>
    </w:p>
    <w:p w14:paraId="36270A6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.5  各楼层科室平面图</w:t>
      </w:r>
    </w:p>
    <w:p w14:paraId="7A2C26F8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.6  主通道道路指引牌（悬吊式）</w:t>
      </w:r>
    </w:p>
    <w:p w14:paraId="43C71AB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.7  非主通道道路指引牌（悬吊式）</w:t>
      </w:r>
    </w:p>
    <w:p w14:paraId="6D2716EA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.8  道路指引牌（贴墙式）</w:t>
      </w:r>
    </w:p>
    <w:p w14:paraId="7054F4B0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.9  功能区指引牌（悬吊式）</w:t>
      </w:r>
    </w:p>
    <w:p w14:paraId="0CE8AB2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.10  功能区指引牌（贴墙式）</w:t>
      </w:r>
    </w:p>
    <w:p w14:paraId="7D6D2323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.11 通道出入口标识牌</w:t>
      </w:r>
    </w:p>
    <w:p w14:paraId="19C4E287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.12 电梯厅楼层索引</w:t>
      </w:r>
    </w:p>
    <w:p w14:paraId="074E24AE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.13 电梯内楼层索引</w:t>
      </w:r>
    </w:p>
    <w:p w14:paraId="3B9CB7E0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.14 手扶梯楼层索引</w:t>
      </w:r>
    </w:p>
    <w:p w14:paraId="64DBC6B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.15 分诊区标识牌</w:t>
      </w:r>
    </w:p>
    <w:p w14:paraId="14440F47">
      <w:pPr>
        <w:numPr>
          <w:ilvl w:val="0"/>
          <w:numId w:val="0"/>
        </w:numPr>
        <w:jc w:val="left"/>
        <w:rPr>
          <w:rFonts w:hint="eastAsia"/>
        </w:rPr>
      </w:pPr>
    </w:p>
    <w:p w14:paraId="10670B6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）室内环境导视系统标识设计</w:t>
      </w:r>
    </w:p>
    <w:p w14:paraId="655C9E85">
      <w:pPr>
        <w:numPr>
          <w:ilvl w:val="0"/>
          <w:numId w:val="0"/>
        </w:numPr>
        <w:jc w:val="left"/>
        <w:rPr>
          <w:rFonts w:hint="eastAsia"/>
        </w:rPr>
      </w:pPr>
    </w:p>
    <w:p w14:paraId="7DE533E7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 科室形象墙标识</w:t>
      </w:r>
    </w:p>
    <w:p w14:paraId="7A812D8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.2 服务台标识</w:t>
      </w:r>
    </w:p>
    <w:p w14:paraId="63D1141D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.3 科室功能与专家介绍栏</w:t>
      </w:r>
    </w:p>
    <w:p w14:paraId="0FB849B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.4 科室制度、流程栏</w:t>
      </w:r>
    </w:p>
    <w:p w14:paraId="6000C9F3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.5 室内宣传栏</w:t>
      </w:r>
    </w:p>
    <w:p w14:paraId="5E90ECE9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.6 护士站标识牌</w:t>
      </w:r>
    </w:p>
    <w:p w14:paraId="65AF850B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医护人员公示栏</w:t>
      </w:r>
    </w:p>
    <w:p w14:paraId="09DC3106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病人护理信息栏</w:t>
      </w:r>
    </w:p>
    <w:p w14:paraId="32EF0A5D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探房制度牌</w:t>
      </w:r>
    </w:p>
    <w:p w14:paraId="255E5683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服务时间标识牌</w:t>
      </w:r>
    </w:p>
    <w:p w14:paraId="05C641EC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服务窗口标识牌</w:t>
      </w:r>
    </w:p>
    <w:p w14:paraId="17B4B049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消防疏散图</w:t>
      </w:r>
    </w:p>
    <w:p w14:paraId="704C2C9C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洗手间入口标识（侧挂）</w:t>
      </w:r>
    </w:p>
    <w:p w14:paraId="5C70159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洗手间标识（男女）</w:t>
      </w:r>
    </w:p>
    <w:p w14:paraId="37D607BC">
      <w:pPr>
        <w:numPr>
          <w:ilvl w:val="0"/>
          <w:numId w:val="0"/>
        </w:numPr>
        <w:jc w:val="left"/>
        <w:rPr>
          <w:rFonts w:hint="eastAsia"/>
        </w:rPr>
      </w:pPr>
    </w:p>
    <w:p w14:paraId="66DE1534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）室内环境导视系统标识设计</w:t>
      </w:r>
    </w:p>
    <w:p w14:paraId="472487EB">
      <w:pPr>
        <w:numPr>
          <w:ilvl w:val="0"/>
          <w:numId w:val="0"/>
        </w:numPr>
        <w:jc w:val="left"/>
        <w:rPr>
          <w:rFonts w:hint="eastAsia"/>
        </w:rPr>
      </w:pPr>
    </w:p>
    <w:p w14:paraId="38CB658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.1洗手间（公用）</w:t>
      </w:r>
    </w:p>
    <w:p w14:paraId="6086E9F9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.2洗手间（男、女、无障碍）</w:t>
      </w:r>
    </w:p>
    <w:p w14:paraId="64CBC78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.3诊室门牌（侧挂）</w:t>
      </w:r>
    </w:p>
    <w:p w14:paraId="7BDCC076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.4 办公室门牌</w:t>
      </w:r>
    </w:p>
    <w:p w14:paraId="1373C774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.5 科室门牌（上岗动态）</w:t>
      </w:r>
    </w:p>
    <w:p w14:paraId="0EC794B2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.6 病房门牌</w:t>
      </w:r>
    </w:p>
    <w:p w14:paraId="72EB60D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.7 床头牌编号</w:t>
      </w:r>
    </w:p>
    <w:p w14:paraId="3611F6B1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.8 步行梯标识</w:t>
      </w:r>
    </w:p>
    <w:p w14:paraId="6AD1ED6D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.9 楼层号标识</w:t>
      </w:r>
    </w:p>
    <w:p w14:paraId="5FC53F57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.10 电梯标识（客梯、手术梯等）</w:t>
      </w:r>
    </w:p>
    <w:p w14:paraId="739849FC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.11 温馨提示牌</w:t>
      </w:r>
    </w:p>
    <w:p w14:paraId="5280D72F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.12 警示牌</w:t>
      </w:r>
    </w:p>
    <w:p w14:paraId="2AAB1CB3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.14 玻璃防撞带</w:t>
      </w:r>
    </w:p>
    <w:p w14:paraId="57954622"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.15 门推、拉标识</w:t>
      </w:r>
    </w:p>
    <w:p w14:paraId="06AB37AD">
      <w:pPr>
        <w:widowControl w:val="0"/>
        <w:numPr>
          <w:ilvl w:val="0"/>
          <w:numId w:val="0"/>
        </w:numPr>
        <w:ind w:leftChars="0"/>
        <w:jc w:val="left"/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0238C">
    <w:pPr>
      <w:pStyle w:val="4"/>
      <w:rPr>
        <w:rFonts w:hint="eastAsia" w:eastAsiaTheme="minorEastAsia"/>
        <w:lang w:eastAsia="zh-CN"/>
      </w:rPr>
    </w:pPr>
    <w:r>
      <w:rPr>
        <w:rFonts w:hint="eastAsia"/>
        <w:lang w:val="en-US" w:eastAsia="zh-CN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52F05"/>
    <w:multiLevelType w:val="singleLevel"/>
    <w:tmpl w:val="65652F05"/>
    <w:lvl w:ilvl="0" w:tentative="0">
      <w:start w:val="1"/>
      <w:numFmt w:val="chineseCounting"/>
      <w:suff w:val="space"/>
      <w:lvlText w:val="(%1)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9690A"/>
    <w:rsid w:val="01E30173"/>
    <w:rsid w:val="12363693"/>
    <w:rsid w:val="1BE55BEA"/>
    <w:rsid w:val="2E47556E"/>
    <w:rsid w:val="36B60EF2"/>
    <w:rsid w:val="4B351264"/>
    <w:rsid w:val="53FD151C"/>
    <w:rsid w:val="562332DD"/>
    <w:rsid w:val="5E1F002B"/>
    <w:rsid w:val="60A94DDC"/>
    <w:rsid w:val="6F09690A"/>
    <w:rsid w:val="759421A2"/>
    <w:rsid w:val="7DBE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1674</Words>
  <Characters>2429</Characters>
  <Lines>0</Lines>
  <Paragraphs>0</Paragraphs>
  <TotalTime>80</TotalTime>
  <ScaleCrop>false</ScaleCrop>
  <LinksUpToDate>false</LinksUpToDate>
  <CharactersWithSpaces>2732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2024-11-21T02:30:00Z</dcterms:created>
  <dc:creator>lenovo</dc:creator>
  <cp:lastModifiedBy>杨如乐</cp:lastModifiedBy>
  <dcterms:modified xsi:type="dcterms:W3CDTF">2025-05-08T01:19:20Z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95F2BA7B17DB49CF92E6BC5677CB102B_13</vt:lpwstr>
  </property>
  <property fmtid="{D5CDD505-2E9C-101B-9397-08002B2CF9AE}" pid="4" name="KSOTemplateDocerSaveRecord">
    <vt:lpwstr>eyJoZGlkIjoiNWI2NWViYzdhMjhjNjU5NmU5YmIxYTJiOGZjYTM1ZmMiLCJ1c2VySWQiOiIxNjg2ODQxNjgwIn0=</vt:lpwstr>
  </property>
</Properties>
</file>